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32"/>
          <w:szCs w:val="32"/>
        </w:rPr>
      </w:pPr>
      <w:bookmarkStart w:id="0" w:name="_GoBack"/>
      <w:bookmarkEnd w:id="0"/>
    </w:p>
    <w:p>
      <w:pPr>
        <w:rPr>
          <w:rFonts w:ascii="仿宋" w:hAnsi="仿宋" w:eastAsia="仿宋"/>
          <w:b/>
          <w:bCs/>
          <w:sz w:val="32"/>
          <w:szCs w:val="32"/>
        </w:rPr>
      </w:pPr>
    </w:p>
    <w:p>
      <w:pPr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附件1：</w:t>
      </w:r>
    </w:p>
    <w:p>
      <w:pPr>
        <w:pStyle w:val="2"/>
        <w:spacing w:before="0" w:after="100" w:line="240" w:lineRule="auto"/>
        <w:jc w:val="center"/>
        <w:rPr>
          <w:rFonts w:ascii="宋体" w:hAnsi="宋体" w:eastAsia="宋体"/>
        </w:rPr>
      </w:pPr>
      <w:r>
        <w:rPr>
          <w:rFonts w:hint="eastAsia" w:ascii="宋体" w:hAnsi="宋体" w:eastAsia="宋体"/>
          <w:sz w:val="32"/>
          <w:szCs w:val="32"/>
        </w:rPr>
        <w:t>课件资源一</w:t>
      </w:r>
    </w:p>
    <w:tbl>
      <w:tblPr>
        <w:tblStyle w:val="6"/>
        <w:tblW w:w="83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4"/>
        <w:gridCol w:w="60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84" w:type="dxa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序号</w:t>
            </w:r>
          </w:p>
        </w:tc>
        <w:tc>
          <w:tcPr>
            <w:tcW w:w="6047" w:type="dxa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教学资源列表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84" w:type="dxa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</w:t>
            </w:r>
          </w:p>
        </w:tc>
        <w:tc>
          <w:tcPr>
            <w:tcW w:w="6047" w:type="dxa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工程识图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84" w:type="dxa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2</w:t>
            </w:r>
          </w:p>
        </w:tc>
        <w:tc>
          <w:tcPr>
            <w:tcW w:w="6047" w:type="dxa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工程测量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84" w:type="dxa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3</w:t>
            </w:r>
          </w:p>
        </w:tc>
        <w:tc>
          <w:tcPr>
            <w:tcW w:w="6047" w:type="dxa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工程材料实验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84" w:type="dxa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4</w:t>
            </w:r>
          </w:p>
        </w:tc>
        <w:tc>
          <w:tcPr>
            <w:tcW w:w="6047" w:type="dxa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铁路车站客运员劳动安全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84" w:type="dxa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5</w:t>
            </w:r>
          </w:p>
        </w:tc>
        <w:tc>
          <w:tcPr>
            <w:tcW w:w="6047" w:type="dxa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铁路大型养路机械司机劳动安全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84" w:type="dxa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6</w:t>
            </w:r>
          </w:p>
        </w:tc>
        <w:tc>
          <w:tcPr>
            <w:tcW w:w="6047" w:type="dxa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铁路电力工劳动安全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84" w:type="dxa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7</w:t>
            </w:r>
          </w:p>
        </w:tc>
        <w:tc>
          <w:tcPr>
            <w:tcW w:w="6047" w:type="dxa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铁路轨道车司机劳动安全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84" w:type="dxa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8</w:t>
            </w:r>
          </w:p>
        </w:tc>
        <w:tc>
          <w:tcPr>
            <w:tcW w:w="6047" w:type="dxa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铁路机车司机劳动安全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84" w:type="dxa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9</w:t>
            </w:r>
          </w:p>
        </w:tc>
        <w:tc>
          <w:tcPr>
            <w:tcW w:w="6047" w:type="dxa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铁路接触网工劳动安全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84" w:type="dxa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10</w:t>
            </w:r>
          </w:p>
        </w:tc>
        <w:tc>
          <w:tcPr>
            <w:tcW w:w="6047" w:type="dxa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铁路客车车辆乘务员劳动安全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84" w:type="dxa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11</w:t>
            </w:r>
          </w:p>
        </w:tc>
        <w:tc>
          <w:tcPr>
            <w:tcW w:w="6047" w:type="dxa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铁路列车员劳动安全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84" w:type="dxa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12</w:t>
            </w:r>
          </w:p>
        </w:tc>
        <w:tc>
          <w:tcPr>
            <w:tcW w:w="6047" w:type="dxa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铁路列检所检车员劳动安全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84" w:type="dxa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13</w:t>
            </w:r>
          </w:p>
        </w:tc>
        <w:tc>
          <w:tcPr>
            <w:tcW w:w="6047" w:type="dxa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铁路桥隧工劳动安全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84" w:type="dxa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14</w:t>
            </w:r>
          </w:p>
        </w:tc>
        <w:tc>
          <w:tcPr>
            <w:tcW w:w="6047" w:type="dxa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铁路调车员劳动安全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84" w:type="dxa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15</w:t>
            </w:r>
          </w:p>
        </w:tc>
        <w:tc>
          <w:tcPr>
            <w:tcW w:w="6047" w:type="dxa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铁路通信工劳动安全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84" w:type="dxa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16</w:t>
            </w:r>
          </w:p>
        </w:tc>
        <w:tc>
          <w:tcPr>
            <w:tcW w:w="6047" w:type="dxa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铁路线路工劳动安全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84" w:type="dxa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17</w:t>
            </w:r>
          </w:p>
        </w:tc>
        <w:tc>
          <w:tcPr>
            <w:tcW w:w="6047" w:type="dxa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铁路信号工劳动安全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84" w:type="dxa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18</w:t>
            </w:r>
          </w:p>
        </w:tc>
        <w:tc>
          <w:tcPr>
            <w:tcW w:w="6047" w:type="dxa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铁路装卸工劳动安全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84" w:type="dxa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19</w:t>
            </w:r>
          </w:p>
        </w:tc>
        <w:tc>
          <w:tcPr>
            <w:tcW w:w="6047" w:type="dxa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SKT3级以上无流无压应急处理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84" w:type="dxa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20</w:t>
            </w:r>
          </w:p>
        </w:tc>
        <w:tc>
          <w:tcPr>
            <w:tcW w:w="6047" w:type="dxa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铁路行车事故救援多媒体培训课件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84" w:type="dxa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21</w:t>
            </w:r>
          </w:p>
        </w:tc>
        <w:tc>
          <w:tcPr>
            <w:tcW w:w="6047" w:type="dxa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CRH380A、CRH380AL应急故障处理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84" w:type="dxa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22</w:t>
            </w:r>
          </w:p>
        </w:tc>
        <w:tc>
          <w:tcPr>
            <w:tcW w:w="6047" w:type="dxa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电力机车顶部检查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84" w:type="dxa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23</w:t>
            </w:r>
          </w:p>
        </w:tc>
        <w:tc>
          <w:tcPr>
            <w:tcW w:w="6047" w:type="dxa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电力机车劈相电机检修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84" w:type="dxa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24</w:t>
            </w:r>
          </w:p>
        </w:tc>
        <w:tc>
          <w:tcPr>
            <w:tcW w:w="6047" w:type="dxa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电力机车牵引电机检修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84" w:type="dxa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25</w:t>
            </w:r>
          </w:p>
        </w:tc>
        <w:tc>
          <w:tcPr>
            <w:tcW w:w="6047" w:type="dxa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机车乘务员一次出乘作业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84" w:type="dxa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26</w:t>
            </w:r>
          </w:p>
        </w:tc>
        <w:tc>
          <w:tcPr>
            <w:tcW w:w="6047" w:type="dxa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机车故障被迫停车后的处理与单机救援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84" w:type="dxa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27</w:t>
            </w:r>
          </w:p>
        </w:tc>
        <w:tc>
          <w:tcPr>
            <w:tcW w:w="6047" w:type="dxa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轴承缺陷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84" w:type="dxa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28</w:t>
            </w:r>
          </w:p>
        </w:tc>
        <w:tc>
          <w:tcPr>
            <w:tcW w:w="6047" w:type="dxa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25G型客车车钩缓冲装置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84" w:type="dxa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29</w:t>
            </w:r>
          </w:p>
        </w:tc>
        <w:tc>
          <w:tcPr>
            <w:tcW w:w="6047" w:type="dxa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25G型客车车体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84" w:type="dxa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30</w:t>
            </w:r>
          </w:p>
        </w:tc>
        <w:tc>
          <w:tcPr>
            <w:tcW w:w="6047" w:type="dxa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25G型客车油漆，标记和落成检查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84" w:type="dxa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31</w:t>
            </w:r>
          </w:p>
        </w:tc>
        <w:tc>
          <w:tcPr>
            <w:tcW w:w="6047" w:type="dxa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25G型客车制动装置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84" w:type="dxa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32</w:t>
            </w:r>
          </w:p>
        </w:tc>
        <w:tc>
          <w:tcPr>
            <w:tcW w:w="6047" w:type="dxa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25G型客车转向架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84" w:type="dxa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33</w:t>
            </w:r>
          </w:p>
        </w:tc>
        <w:tc>
          <w:tcPr>
            <w:tcW w:w="6047" w:type="dxa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25K新型客车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84" w:type="dxa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34</w:t>
            </w:r>
          </w:p>
        </w:tc>
        <w:tc>
          <w:tcPr>
            <w:tcW w:w="6047" w:type="dxa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70吨货车检修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84" w:type="dxa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35</w:t>
            </w:r>
          </w:p>
        </w:tc>
        <w:tc>
          <w:tcPr>
            <w:tcW w:w="6047" w:type="dxa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CRH1型动车组一级检修作业标准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84" w:type="dxa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36</w:t>
            </w:r>
          </w:p>
        </w:tc>
        <w:tc>
          <w:tcPr>
            <w:tcW w:w="6047" w:type="dxa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120型控制阀的组装作业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84" w:type="dxa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37</w:t>
            </w:r>
          </w:p>
        </w:tc>
        <w:tc>
          <w:tcPr>
            <w:tcW w:w="6047" w:type="dxa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铁路货车列检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84" w:type="dxa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38</w:t>
            </w:r>
          </w:p>
        </w:tc>
        <w:tc>
          <w:tcPr>
            <w:tcW w:w="6047" w:type="dxa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铁路货车段修规程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84" w:type="dxa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39</w:t>
            </w:r>
          </w:p>
        </w:tc>
        <w:tc>
          <w:tcPr>
            <w:tcW w:w="6047" w:type="dxa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FZy-CTC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84" w:type="dxa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40</w:t>
            </w:r>
          </w:p>
        </w:tc>
        <w:tc>
          <w:tcPr>
            <w:tcW w:w="6047" w:type="dxa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6502电气集中控制台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84" w:type="dxa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41</w:t>
            </w:r>
          </w:p>
        </w:tc>
        <w:tc>
          <w:tcPr>
            <w:tcW w:w="6047" w:type="dxa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铁路调车作业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84" w:type="dxa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42</w:t>
            </w:r>
          </w:p>
        </w:tc>
        <w:tc>
          <w:tcPr>
            <w:tcW w:w="6047" w:type="dxa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货物装载加固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84" w:type="dxa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43</w:t>
            </w:r>
          </w:p>
        </w:tc>
        <w:tc>
          <w:tcPr>
            <w:tcW w:w="6047" w:type="dxa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接发列车作业标准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84" w:type="dxa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44</w:t>
            </w:r>
          </w:p>
        </w:tc>
        <w:tc>
          <w:tcPr>
            <w:tcW w:w="6047" w:type="dxa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非正常情况下接发列车作业标准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84" w:type="dxa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45</w:t>
            </w:r>
          </w:p>
        </w:tc>
        <w:tc>
          <w:tcPr>
            <w:tcW w:w="6047" w:type="dxa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装卸事故案例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84" w:type="dxa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46</w:t>
            </w:r>
          </w:p>
        </w:tc>
        <w:tc>
          <w:tcPr>
            <w:tcW w:w="6047" w:type="dxa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铁路车务技术管理基本知识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84" w:type="dxa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47</w:t>
            </w:r>
          </w:p>
        </w:tc>
        <w:tc>
          <w:tcPr>
            <w:tcW w:w="6047" w:type="dxa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车站值班员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84" w:type="dxa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48</w:t>
            </w:r>
          </w:p>
        </w:tc>
        <w:tc>
          <w:tcPr>
            <w:tcW w:w="6047" w:type="dxa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车辆模型资源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84" w:type="dxa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49</w:t>
            </w:r>
          </w:p>
        </w:tc>
        <w:tc>
          <w:tcPr>
            <w:tcW w:w="6047" w:type="dxa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整车模型动漫素材资源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84" w:type="dxa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50</w:t>
            </w:r>
          </w:p>
        </w:tc>
        <w:tc>
          <w:tcPr>
            <w:tcW w:w="6047" w:type="dxa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机车动漫素材资源</w:t>
            </w:r>
          </w:p>
        </w:tc>
      </w:tr>
    </w:tbl>
    <w:p>
      <w:pPr>
        <w:rPr>
          <w:rFonts w:ascii="仿宋" w:hAnsi="仿宋" w:eastAsia="仿宋"/>
          <w:sz w:val="32"/>
          <w:szCs w:val="32"/>
        </w:rPr>
      </w:pPr>
    </w:p>
    <w:p>
      <w:pPr>
        <w:pStyle w:val="2"/>
        <w:spacing w:before="0" w:after="100" w:line="240" w:lineRule="auto"/>
        <w:jc w:val="center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课件资源二</w:t>
      </w:r>
    </w:p>
    <w:p/>
    <w:tbl>
      <w:tblPr>
        <w:tblStyle w:val="5"/>
        <w:tblW w:w="8334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4"/>
        <w:gridCol w:w="6820"/>
        <w:gridCol w:w="7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6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名称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类别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铁路线路、桥梁及隧道技术管理基本知识多媒体培训课件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 xml:space="preserve">道口工多媒体仿真培训课件 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6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脚手架搭设、钢筋弯制绑扎多媒体培训课件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6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铁路隧道施工作业多媒体仿真培训课件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6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铁路连续梁施工作业多媒体仿真培训课件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6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单枕连续法铺轨施工培训课件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6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客运专线07（009）无砟道岔多媒体仿真培训课件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6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道口工看守作业仿真多媒体培训课件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6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大型养路机械道岔捣固作业多媒体仿真培训课件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6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桥涵顶进作业多媒体培训课件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6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更换道岔辙叉作业多媒体培训课件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6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轨检小车检查线路作业多媒体培训课件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6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伤损轨无损加固作业多媒体培训课件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6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线路精测作业多媒体培训课件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6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线路设备静态检查多媒体仿真培训课件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6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桥梁转体施工多媒体仿真培训课件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17</w:t>
            </w:r>
          </w:p>
        </w:tc>
        <w:tc>
          <w:tcPr>
            <w:tcW w:w="6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铁路扣件技术多媒体仿真培训课件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6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工务小型养路机械作业多媒体仿真培训课件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19</w:t>
            </w:r>
          </w:p>
        </w:tc>
        <w:tc>
          <w:tcPr>
            <w:tcW w:w="6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铁路工务线路作业指导多媒体培训课件套装（包含51个作业课件资源）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6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钢梁除锈、油漆施工作业多媒体仿真培训课件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21</w:t>
            </w:r>
          </w:p>
        </w:tc>
        <w:tc>
          <w:tcPr>
            <w:tcW w:w="6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整正更换支座多媒体培训课件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22</w:t>
            </w:r>
          </w:p>
        </w:tc>
        <w:tc>
          <w:tcPr>
            <w:tcW w:w="6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钢轨铝热焊接作业多媒体培训课件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23</w:t>
            </w:r>
          </w:p>
        </w:tc>
        <w:tc>
          <w:tcPr>
            <w:tcW w:w="6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高速铁路CRTSⅢ型板式无砟轨道铺设作业培训课件（一）（包含底座板施工、隔离层及弹性垫层施工共2个课件教学资源）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6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高速铁路CRTSⅢ型板式无砟轨道铺设作业培训课件（二）（包含轨道板运输及存放、轨道板粗铺施工、轨道板精调施工共3个课件教学资源）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25</w:t>
            </w:r>
          </w:p>
        </w:tc>
        <w:tc>
          <w:tcPr>
            <w:tcW w:w="6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高速铁路CRTSⅢ型板式无砟轨道铺设作业培训课件（三）（包含自密实混凝土制备与运输施工、自密实混凝土灌注与养护施工共2个课件教学资源）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26</w:t>
            </w:r>
          </w:p>
        </w:tc>
        <w:tc>
          <w:tcPr>
            <w:tcW w:w="6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Style w:val="9"/>
                <w:rFonts w:hint="default"/>
                <w:sz w:val="21"/>
                <w:szCs w:val="21"/>
                <w:lang w:bidi="ar"/>
              </w:rPr>
              <w:t>车辆轴温智能探测系统（</w:t>
            </w:r>
            <w:r>
              <w:rPr>
                <w:rStyle w:val="10"/>
                <w:rFonts w:hint="eastAsia" w:ascii="宋体" w:hAnsi="宋体" w:eastAsia="宋体" w:cs="宋体"/>
                <w:sz w:val="21"/>
                <w:szCs w:val="21"/>
                <w:lang w:bidi="ar"/>
              </w:rPr>
              <w:t>THDS</w:t>
            </w:r>
            <w:r>
              <w:rPr>
                <w:rStyle w:val="11"/>
                <w:rFonts w:hint="default"/>
                <w:sz w:val="21"/>
                <w:szCs w:val="21"/>
                <w:lang w:bidi="ar"/>
              </w:rPr>
              <w:t>）多媒体培训课件</w:t>
            </w:r>
            <w:r>
              <w:rPr>
                <w:rStyle w:val="10"/>
                <w:rFonts w:hint="eastAsia" w:ascii="宋体" w:hAnsi="宋体" w:eastAsia="宋体" w:cs="宋体"/>
                <w:sz w:val="21"/>
                <w:szCs w:val="21"/>
                <w:lang w:bidi="ar"/>
              </w:rPr>
              <w:t xml:space="preserve">  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车辆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27</w:t>
            </w:r>
          </w:p>
        </w:tc>
        <w:tc>
          <w:tcPr>
            <w:tcW w:w="6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转K6型转向架落成检查作业多媒体培训课件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车辆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28</w:t>
            </w:r>
          </w:p>
        </w:tc>
        <w:tc>
          <w:tcPr>
            <w:tcW w:w="6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转K2型承载鞍检修多媒体培训课件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车辆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29</w:t>
            </w:r>
          </w:p>
        </w:tc>
        <w:tc>
          <w:tcPr>
            <w:tcW w:w="6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C70整车落成检查多媒体培训课件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车辆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6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Style w:val="12"/>
                <w:rFonts w:hint="eastAsia" w:ascii="宋体" w:hAnsi="宋体" w:eastAsia="宋体" w:cs="宋体"/>
                <w:sz w:val="21"/>
                <w:szCs w:val="21"/>
                <w:lang w:bidi="ar"/>
              </w:rPr>
              <w:t>CRH</w:t>
            </w:r>
            <w:r>
              <w:rPr>
                <w:rStyle w:val="13"/>
                <w:rFonts w:hint="eastAsia" w:ascii="宋体" w:hAnsi="宋体" w:eastAsia="宋体" w:cs="宋体"/>
                <w:sz w:val="21"/>
                <w:szCs w:val="21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型动车组脱轨事故救援多媒体仿真培训课件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机务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31</w:t>
            </w:r>
          </w:p>
        </w:tc>
        <w:tc>
          <w:tcPr>
            <w:tcW w:w="6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HXD3C机车无火回送多媒体培训课件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机务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32</w:t>
            </w:r>
          </w:p>
        </w:tc>
        <w:tc>
          <w:tcPr>
            <w:tcW w:w="6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机车乘务员非正常行车_列车发生分离时的处置办法多媒体培训课件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机务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33</w:t>
            </w:r>
          </w:p>
        </w:tc>
        <w:tc>
          <w:tcPr>
            <w:tcW w:w="6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机车乘务员非正常行车_列车区间被迫停车后退行的处置办法多媒体培训课件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机务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34</w:t>
            </w:r>
          </w:p>
        </w:tc>
        <w:tc>
          <w:tcPr>
            <w:tcW w:w="6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机车乘务员非正常行车_列车运行中发现弓网挂有异物的处置办法多媒体培训课件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机务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35</w:t>
            </w:r>
          </w:p>
        </w:tc>
        <w:tc>
          <w:tcPr>
            <w:tcW w:w="6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机车乘务员非正常行车_到区间担当救援任务时的处置办法多媒体培训课件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机务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36</w:t>
            </w:r>
          </w:p>
        </w:tc>
        <w:tc>
          <w:tcPr>
            <w:tcW w:w="6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机车乘务员非正常行车_列车在区间被迫停车的防护办法多媒体培训课件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机务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37</w:t>
            </w:r>
          </w:p>
        </w:tc>
        <w:tc>
          <w:tcPr>
            <w:tcW w:w="6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受电弓与接触网的相互作用多媒体培训课件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供电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38</w:t>
            </w:r>
          </w:p>
        </w:tc>
        <w:tc>
          <w:tcPr>
            <w:tcW w:w="6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接触网停电作业电气防护多媒体培训课件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供电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39</w:t>
            </w:r>
          </w:p>
        </w:tc>
        <w:tc>
          <w:tcPr>
            <w:tcW w:w="6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Style w:val="9"/>
                <w:rFonts w:hint="default"/>
                <w:sz w:val="21"/>
                <w:szCs w:val="21"/>
                <w:lang w:bidi="ar"/>
              </w:rPr>
              <w:t>提速道岔转辙机（</w:t>
            </w:r>
            <w:r>
              <w:rPr>
                <w:rStyle w:val="14"/>
                <w:rFonts w:hint="eastAsia" w:ascii="宋体" w:hAnsi="宋体" w:eastAsia="宋体" w:cs="宋体"/>
                <w:sz w:val="21"/>
                <w:szCs w:val="21"/>
                <w:lang w:bidi="ar"/>
              </w:rPr>
              <w:t>ZYJ7</w:t>
            </w:r>
            <w:r>
              <w:rPr>
                <w:rStyle w:val="9"/>
                <w:rFonts w:hint="default"/>
                <w:sz w:val="21"/>
                <w:szCs w:val="21"/>
                <w:lang w:bidi="ar"/>
              </w:rPr>
              <w:t>）多媒体仿真培训课件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电务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40</w:t>
            </w:r>
          </w:p>
        </w:tc>
        <w:tc>
          <w:tcPr>
            <w:tcW w:w="6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列车自动控制系统概述多媒体培训课件（包含CTCS-3级列控系统、CBTC系统共2个课件教学资源）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电务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41</w:t>
            </w:r>
          </w:p>
        </w:tc>
        <w:tc>
          <w:tcPr>
            <w:tcW w:w="6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铁路劳动安全数字化情景培训课件（上）（包含铁路铁路行业规章、预防机车车辆伤害、预防机动车辆伤害、预防高处坠落、预防机械伤害共5个课件教学资源）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通用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42</w:t>
            </w:r>
          </w:p>
        </w:tc>
        <w:tc>
          <w:tcPr>
            <w:tcW w:w="6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铁路劳动安全数字化情景培训课件（下）（包含预防触电、预防起重伤害、预防物体打击、消防安全、预防中毒和窒息、现场急救共6个课件教学资源）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通用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43</w:t>
            </w:r>
          </w:p>
        </w:tc>
        <w:tc>
          <w:tcPr>
            <w:tcW w:w="6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铁路机车车辆专用量具多媒体课件（包含车钩高度尺、机车车轮第四种检测器、轮对轮位差测量仪、轮对内距尺、轮箍内径千分尺、轮箍外径测量仪、轮辋外径千分尺、踏面检查样板共8个课件教学资源）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通用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44</w:t>
            </w:r>
          </w:p>
        </w:tc>
        <w:tc>
          <w:tcPr>
            <w:tcW w:w="6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高铁18#道岔检查作业标准课件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45</w:t>
            </w:r>
          </w:p>
        </w:tc>
        <w:tc>
          <w:tcPr>
            <w:tcW w:w="6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铁路钢筋混凝土/预应力钢筋混凝土桥梁桥面构造课程虚拟软件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46</w:t>
            </w:r>
          </w:p>
        </w:tc>
        <w:tc>
          <w:tcPr>
            <w:tcW w:w="6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铁路钢筋混凝土/预应力钢筋混凝土桥梁梁端细部课程虚拟软件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47</w:t>
            </w:r>
          </w:p>
        </w:tc>
        <w:tc>
          <w:tcPr>
            <w:tcW w:w="6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铁路上承式钢板梁全貌、细部构造及梁轨关系局部课程虚拟软件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6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铁路下承式钢桁梁全貌、细部构造及制动撑架局部课程虚拟软件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49</w:t>
            </w:r>
          </w:p>
        </w:tc>
        <w:tc>
          <w:tcPr>
            <w:tcW w:w="6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 xml:space="preserve">无缝线路多媒体课件 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50</w:t>
            </w:r>
          </w:p>
        </w:tc>
        <w:tc>
          <w:tcPr>
            <w:tcW w:w="6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有砟轨道多媒体培训课件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51</w:t>
            </w:r>
          </w:p>
        </w:tc>
        <w:tc>
          <w:tcPr>
            <w:tcW w:w="6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线路设计课程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52</w:t>
            </w:r>
          </w:p>
        </w:tc>
        <w:tc>
          <w:tcPr>
            <w:tcW w:w="6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工务术语词典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工务</w:t>
            </w:r>
          </w:p>
        </w:tc>
      </w:tr>
    </w:tbl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附件2</w:t>
      </w:r>
    </w:p>
    <w:p>
      <w:pPr>
        <w:pStyle w:val="2"/>
        <w:jc w:val="center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Cs w:val="44"/>
        </w:rPr>
        <w:t>网培学院项目应用培训报名汇总表</w:t>
      </w:r>
    </w:p>
    <w:p>
      <w:pPr>
        <w:adjustRightInd w:val="0"/>
        <w:snapToGrid w:val="0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系（部）：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4"/>
        <w:gridCol w:w="1605"/>
        <w:gridCol w:w="1455"/>
        <w:gridCol w:w="41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</w:tcPr>
          <w:p>
            <w:pPr>
              <w:pStyle w:val="2"/>
              <w:spacing w:before="0" w:after="0" w:line="240" w:lineRule="auto"/>
              <w:jc w:val="center"/>
              <w:outlineLvl w:val="0"/>
              <w:rPr>
                <w:rFonts w:ascii="宋体" w:hAnsi="宋体" w:eastAsia="宋体" w:cs="黑体"/>
                <w:sz w:val="28"/>
                <w:szCs w:val="28"/>
              </w:rPr>
            </w:pPr>
            <w:r>
              <w:rPr>
                <w:rFonts w:hint="eastAsia" w:ascii="宋体" w:hAnsi="宋体" w:eastAsia="宋体" w:cs="黑体"/>
                <w:sz w:val="28"/>
                <w:szCs w:val="28"/>
              </w:rPr>
              <w:t>序号</w:t>
            </w:r>
          </w:p>
        </w:tc>
        <w:tc>
          <w:tcPr>
            <w:tcW w:w="1605" w:type="dxa"/>
          </w:tcPr>
          <w:p>
            <w:pPr>
              <w:pStyle w:val="2"/>
              <w:spacing w:before="0" w:after="0" w:line="240" w:lineRule="auto"/>
              <w:jc w:val="center"/>
              <w:outlineLvl w:val="0"/>
              <w:rPr>
                <w:rFonts w:ascii="宋体" w:hAnsi="宋体" w:eastAsia="宋体" w:cs="黑体"/>
                <w:sz w:val="28"/>
                <w:szCs w:val="28"/>
              </w:rPr>
            </w:pPr>
            <w:r>
              <w:rPr>
                <w:rFonts w:hint="eastAsia" w:ascii="宋体" w:hAnsi="宋体" w:eastAsia="宋体" w:cs="黑体"/>
                <w:sz w:val="28"/>
                <w:szCs w:val="28"/>
              </w:rPr>
              <w:t>姓名</w:t>
            </w:r>
          </w:p>
        </w:tc>
        <w:tc>
          <w:tcPr>
            <w:tcW w:w="1455" w:type="dxa"/>
          </w:tcPr>
          <w:p>
            <w:pPr>
              <w:pStyle w:val="2"/>
              <w:spacing w:before="0" w:after="0" w:line="240" w:lineRule="auto"/>
              <w:jc w:val="center"/>
              <w:outlineLvl w:val="0"/>
              <w:rPr>
                <w:rFonts w:ascii="宋体" w:hAnsi="宋体" w:eastAsia="宋体" w:cs="黑体"/>
                <w:sz w:val="28"/>
                <w:szCs w:val="28"/>
              </w:rPr>
            </w:pPr>
            <w:r>
              <w:rPr>
                <w:rFonts w:hint="eastAsia" w:ascii="宋体" w:hAnsi="宋体" w:eastAsia="宋体" w:cs="黑体"/>
                <w:sz w:val="28"/>
                <w:szCs w:val="28"/>
              </w:rPr>
              <w:t>职称</w:t>
            </w:r>
          </w:p>
        </w:tc>
        <w:tc>
          <w:tcPr>
            <w:tcW w:w="4178" w:type="dxa"/>
          </w:tcPr>
          <w:p>
            <w:pPr>
              <w:pStyle w:val="2"/>
              <w:spacing w:before="0" w:after="0" w:line="240" w:lineRule="auto"/>
              <w:jc w:val="center"/>
              <w:outlineLvl w:val="0"/>
              <w:rPr>
                <w:rFonts w:ascii="宋体" w:hAnsi="宋体" w:eastAsia="宋体" w:cs="黑体"/>
                <w:sz w:val="28"/>
                <w:szCs w:val="28"/>
              </w:rPr>
            </w:pPr>
            <w:r>
              <w:rPr>
                <w:rFonts w:hint="eastAsia" w:ascii="宋体" w:hAnsi="宋体" w:eastAsia="宋体" w:cs="黑体"/>
                <w:sz w:val="28"/>
                <w:szCs w:val="28"/>
              </w:rPr>
              <w:t>任教课程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</w:tcPr>
          <w:p>
            <w:pPr>
              <w:pStyle w:val="2"/>
              <w:spacing w:before="0" w:after="0"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1605" w:type="dxa"/>
          </w:tcPr>
          <w:p>
            <w:pPr>
              <w:pStyle w:val="2"/>
              <w:spacing w:before="0" w:after="0"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1455" w:type="dxa"/>
          </w:tcPr>
          <w:p>
            <w:pPr>
              <w:pStyle w:val="2"/>
              <w:spacing w:before="0" w:after="0"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4178" w:type="dxa"/>
          </w:tcPr>
          <w:p>
            <w:pPr>
              <w:pStyle w:val="2"/>
              <w:spacing w:before="0" w:after="0" w:line="240" w:lineRule="auto"/>
              <w:outlineLvl w:val="0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</w:tcPr>
          <w:p>
            <w:pPr>
              <w:pStyle w:val="2"/>
              <w:spacing w:before="0" w:after="0"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1605" w:type="dxa"/>
          </w:tcPr>
          <w:p>
            <w:pPr>
              <w:pStyle w:val="2"/>
              <w:spacing w:before="0" w:after="0"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1455" w:type="dxa"/>
          </w:tcPr>
          <w:p>
            <w:pPr>
              <w:pStyle w:val="2"/>
              <w:spacing w:before="0" w:after="0"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4178" w:type="dxa"/>
          </w:tcPr>
          <w:p>
            <w:pPr>
              <w:pStyle w:val="2"/>
              <w:spacing w:before="0" w:after="0" w:line="240" w:lineRule="auto"/>
              <w:outlineLvl w:val="0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</w:tcPr>
          <w:p>
            <w:pPr>
              <w:pStyle w:val="2"/>
              <w:spacing w:before="0" w:after="0"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1605" w:type="dxa"/>
          </w:tcPr>
          <w:p>
            <w:pPr>
              <w:pStyle w:val="2"/>
              <w:spacing w:before="0" w:after="0"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1455" w:type="dxa"/>
          </w:tcPr>
          <w:p>
            <w:pPr>
              <w:pStyle w:val="2"/>
              <w:spacing w:before="0" w:after="0"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4178" w:type="dxa"/>
          </w:tcPr>
          <w:p>
            <w:pPr>
              <w:pStyle w:val="2"/>
              <w:spacing w:before="0" w:after="0" w:line="240" w:lineRule="auto"/>
              <w:outlineLvl w:val="0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</w:tcPr>
          <w:p>
            <w:pPr>
              <w:pStyle w:val="2"/>
              <w:spacing w:before="0" w:after="0"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1605" w:type="dxa"/>
          </w:tcPr>
          <w:p>
            <w:pPr>
              <w:pStyle w:val="2"/>
              <w:spacing w:before="0" w:after="0"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1455" w:type="dxa"/>
          </w:tcPr>
          <w:p>
            <w:pPr>
              <w:pStyle w:val="2"/>
              <w:spacing w:before="0" w:after="0"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4178" w:type="dxa"/>
          </w:tcPr>
          <w:p>
            <w:pPr>
              <w:pStyle w:val="2"/>
              <w:spacing w:before="0" w:after="0" w:line="240" w:lineRule="auto"/>
              <w:outlineLvl w:val="0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</w:tcPr>
          <w:p>
            <w:pPr>
              <w:pStyle w:val="2"/>
              <w:spacing w:before="0" w:after="0"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1605" w:type="dxa"/>
          </w:tcPr>
          <w:p>
            <w:pPr>
              <w:pStyle w:val="2"/>
              <w:spacing w:before="0" w:after="0"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1455" w:type="dxa"/>
          </w:tcPr>
          <w:p>
            <w:pPr>
              <w:pStyle w:val="2"/>
              <w:spacing w:before="0" w:after="0"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4178" w:type="dxa"/>
          </w:tcPr>
          <w:p>
            <w:pPr>
              <w:pStyle w:val="2"/>
              <w:spacing w:before="0" w:after="0" w:line="240" w:lineRule="auto"/>
              <w:outlineLvl w:val="0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</w:tcPr>
          <w:p>
            <w:pPr>
              <w:pStyle w:val="2"/>
              <w:spacing w:before="0" w:after="0"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1605" w:type="dxa"/>
          </w:tcPr>
          <w:p>
            <w:pPr>
              <w:pStyle w:val="2"/>
              <w:spacing w:before="0" w:after="0"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1455" w:type="dxa"/>
          </w:tcPr>
          <w:p>
            <w:pPr>
              <w:pStyle w:val="2"/>
              <w:spacing w:before="0" w:after="0"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4178" w:type="dxa"/>
          </w:tcPr>
          <w:p>
            <w:pPr>
              <w:pStyle w:val="2"/>
              <w:spacing w:before="0" w:after="0" w:line="240" w:lineRule="auto"/>
              <w:outlineLvl w:val="0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</w:tcPr>
          <w:p>
            <w:pPr>
              <w:pStyle w:val="2"/>
              <w:spacing w:before="0" w:after="0"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1605" w:type="dxa"/>
          </w:tcPr>
          <w:p>
            <w:pPr>
              <w:pStyle w:val="2"/>
              <w:spacing w:before="0" w:after="0"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1455" w:type="dxa"/>
          </w:tcPr>
          <w:p>
            <w:pPr>
              <w:pStyle w:val="2"/>
              <w:spacing w:before="0" w:after="0"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4178" w:type="dxa"/>
          </w:tcPr>
          <w:p>
            <w:pPr>
              <w:pStyle w:val="2"/>
              <w:spacing w:before="0" w:after="0" w:line="240" w:lineRule="auto"/>
              <w:outlineLvl w:val="0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</w:tcPr>
          <w:p>
            <w:pPr>
              <w:pStyle w:val="2"/>
              <w:spacing w:before="0" w:after="0"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1605" w:type="dxa"/>
          </w:tcPr>
          <w:p>
            <w:pPr>
              <w:pStyle w:val="2"/>
              <w:spacing w:before="0" w:after="0"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1455" w:type="dxa"/>
          </w:tcPr>
          <w:p>
            <w:pPr>
              <w:pStyle w:val="2"/>
              <w:spacing w:before="0" w:after="0"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4178" w:type="dxa"/>
          </w:tcPr>
          <w:p>
            <w:pPr>
              <w:pStyle w:val="2"/>
              <w:spacing w:before="0" w:after="0" w:line="240" w:lineRule="auto"/>
              <w:outlineLvl w:val="0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</w:tcPr>
          <w:p>
            <w:pPr>
              <w:pStyle w:val="2"/>
              <w:spacing w:before="0" w:after="0"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1605" w:type="dxa"/>
          </w:tcPr>
          <w:p>
            <w:pPr>
              <w:pStyle w:val="2"/>
              <w:spacing w:before="0" w:after="0"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1455" w:type="dxa"/>
          </w:tcPr>
          <w:p>
            <w:pPr>
              <w:pStyle w:val="2"/>
              <w:spacing w:before="0" w:after="0"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4178" w:type="dxa"/>
          </w:tcPr>
          <w:p>
            <w:pPr>
              <w:pStyle w:val="2"/>
              <w:spacing w:before="0" w:after="0" w:line="240" w:lineRule="auto"/>
              <w:outlineLvl w:val="0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</w:tcPr>
          <w:p>
            <w:pPr>
              <w:pStyle w:val="2"/>
              <w:spacing w:before="0" w:after="0"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1605" w:type="dxa"/>
          </w:tcPr>
          <w:p>
            <w:pPr>
              <w:pStyle w:val="2"/>
              <w:spacing w:before="0" w:after="0"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1455" w:type="dxa"/>
          </w:tcPr>
          <w:p>
            <w:pPr>
              <w:pStyle w:val="2"/>
              <w:spacing w:before="0" w:after="0"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4178" w:type="dxa"/>
          </w:tcPr>
          <w:p>
            <w:pPr>
              <w:pStyle w:val="2"/>
              <w:spacing w:before="0" w:after="0" w:line="240" w:lineRule="auto"/>
              <w:outlineLvl w:val="0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</w:tcPr>
          <w:p>
            <w:pPr>
              <w:pStyle w:val="2"/>
              <w:spacing w:before="0" w:after="0"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1605" w:type="dxa"/>
          </w:tcPr>
          <w:p>
            <w:pPr>
              <w:pStyle w:val="2"/>
              <w:spacing w:before="0" w:after="0"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1455" w:type="dxa"/>
          </w:tcPr>
          <w:p>
            <w:pPr>
              <w:pStyle w:val="2"/>
              <w:spacing w:before="0" w:after="0"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4178" w:type="dxa"/>
          </w:tcPr>
          <w:p>
            <w:pPr>
              <w:pStyle w:val="2"/>
              <w:spacing w:before="0" w:after="0" w:line="240" w:lineRule="auto"/>
              <w:outlineLvl w:val="0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</w:tcPr>
          <w:p>
            <w:pPr>
              <w:pStyle w:val="2"/>
              <w:spacing w:before="0" w:after="0"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1605" w:type="dxa"/>
          </w:tcPr>
          <w:p>
            <w:pPr>
              <w:pStyle w:val="2"/>
              <w:spacing w:before="0" w:after="0"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1455" w:type="dxa"/>
          </w:tcPr>
          <w:p>
            <w:pPr>
              <w:pStyle w:val="2"/>
              <w:spacing w:before="0" w:after="0"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4178" w:type="dxa"/>
          </w:tcPr>
          <w:p>
            <w:pPr>
              <w:pStyle w:val="2"/>
              <w:spacing w:before="0" w:after="0" w:line="240" w:lineRule="auto"/>
              <w:outlineLvl w:val="0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</w:tcPr>
          <w:p>
            <w:pPr>
              <w:pStyle w:val="2"/>
              <w:spacing w:before="0" w:after="0"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1605" w:type="dxa"/>
          </w:tcPr>
          <w:p>
            <w:pPr>
              <w:pStyle w:val="2"/>
              <w:spacing w:before="0" w:after="0"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1455" w:type="dxa"/>
          </w:tcPr>
          <w:p>
            <w:pPr>
              <w:pStyle w:val="2"/>
              <w:spacing w:before="0" w:after="0"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4178" w:type="dxa"/>
          </w:tcPr>
          <w:p>
            <w:pPr>
              <w:pStyle w:val="2"/>
              <w:spacing w:before="0" w:after="0" w:line="240" w:lineRule="auto"/>
              <w:outlineLvl w:val="0"/>
              <w:rPr>
                <w:sz w:val="28"/>
                <w:szCs w:val="28"/>
              </w:rPr>
            </w:pPr>
          </w:p>
        </w:tc>
      </w:tr>
    </w:tbl>
    <w:p>
      <w:pPr>
        <w:pStyle w:val="2"/>
        <w:spacing w:before="0" w:after="0" w:line="24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系部负责人：                                  制表人：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- 1 -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- 1 -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535"/>
    <w:rsid w:val="0006267D"/>
    <w:rsid w:val="0011072B"/>
    <w:rsid w:val="00146201"/>
    <w:rsid w:val="001B68EC"/>
    <w:rsid w:val="00282BF9"/>
    <w:rsid w:val="00313926"/>
    <w:rsid w:val="0042669C"/>
    <w:rsid w:val="00567212"/>
    <w:rsid w:val="006F140E"/>
    <w:rsid w:val="00891290"/>
    <w:rsid w:val="008A2D1F"/>
    <w:rsid w:val="008B044F"/>
    <w:rsid w:val="00A756AD"/>
    <w:rsid w:val="00B14DFA"/>
    <w:rsid w:val="00C77F64"/>
    <w:rsid w:val="00C81DFE"/>
    <w:rsid w:val="00C90481"/>
    <w:rsid w:val="00E95535"/>
    <w:rsid w:val="00EB2889"/>
    <w:rsid w:val="00F06E00"/>
    <w:rsid w:val="00F32D91"/>
    <w:rsid w:val="00FF7116"/>
    <w:rsid w:val="0552678C"/>
    <w:rsid w:val="07CD732A"/>
    <w:rsid w:val="08890BE4"/>
    <w:rsid w:val="0E556141"/>
    <w:rsid w:val="1200348E"/>
    <w:rsid w:val="16B34F12"/>
    <w:rsid w:val="17DD11EC"/>
    <w:rsid w:val="1C494533"/>
    <w:rsid w:val="21B20FBC"/>
    <w:rsid w:val="3FB04B7A"/>
    <w:rsid w:val="44217BF7"/>
    <w:rsid w:val="442E68E9"/>
    <w:rsid w:val="4EE63450"/>
    <w:rsid w:val="51D21AA6"/>
    <w:rsid w:val="51FB2779"/>
    <w:rsid w:val="52C03398"/>
    <w:rsid w:val="5A307E90"/>
    <w:rsid w:val="628D5DD0"/>
    <w:rsid w:val="64051ADD"/>
    <w:rsid w:val="67A7245B"/>
    <w:rsid w:val="6E4173DC"/>
    <w:rsid w:val="6F4D3D08"/>
    <w:rsid w:val="73AF3C59"/>
    <w:rsid w:val="7850675C"/>
    <w:rsid w:val="7EED4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font0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font91"/>
    <w:basedOn w:val="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1">
    <w:name w:val="font5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61"/>
    <w:basedOn w:val="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3">
    <w:name w:val="font101"/>
    <w:basedOn w:val="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  <w:vertAlign w:val="subscript"/>
    </w:rPr>
  </w:style>
  <w:style w:type="character" w:customStyle="1" w:styleId="14">
    <w:name w:val="font112"/>
    <w:basedOn w:val="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5">
    <w:name w:val="页眉 Char"/>
    <w:basedOn w:val="7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页脚 Char"/>
    <w:basedOn w:val="7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6</Pages>
  <Words>2667</Words>
  <Characters>2907</Characters>
  <Lines>24</Lines>
  <Paragraphs>6</Paragraphs>
  <TotalTime>12</TotalTime>
  <ScaleCrop>false</ScaleCrop>
  <LinksUpToDate>false</LinksUpToDate>
  <CharactersWithSpaces>2953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2021-10-06T12:28:00Z</dcterms:created>
  <dc:creator>Lenovo</dc:creator>
  <cp:lastModifiedBy>Administrator</cp:lastModifiedBy>
  <dcterms:modified xsi:type="dcterms:W3CDTF">2022-03-31T08:30:49Z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61EFDCDA7A044801A01C0CEE7296577C</vt:lpwstr>
  </property>
</Properties>
</file>